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576EF" w14:textId="35B0904F" w:rsidR="006C1D43" w:rsidRPr="00AA21BA" w:rsidRDefault="006C1D43" w:rsidP="00AA21BA">
      <w:pPr>
        <w:autoSpaceDE w:val="0"/>
        <w:autoSpaceDN w:val="0"/>
        <w:adjustRightInd w:val="0"/>
        <w:spacing w:after="120" w:line="240" w:lineRule="auto"/>
        <w:jc w:val="center"/>
        <w:rPr>
          <w:rFonts w:ascii="Times New Roman" w:hAnsi="Times New Roman" w:cs="Times New Roman"/>
          <w:b/>
          <w:color w:val="000000"/>
          <w:sz w:val="24"/>
          <w:szCs w:val="24"/>
        </w:rPr>
      </w:pPr>
      <w:r w:rsidRPr="00AA21BA">
        <w:rPr>
          <w:rFonts w:ascii="Times New Roman" w:hAnsi="Times New Roman" w:cs="Times New Roman"/>
          <w:b/>
          <w:color w:val="000000"/>
          <w:sz w:val="24"/>
          <w:szCs w:val="24"/>
        </w:rPr>
        <w:t>Temiz Sanayi Mutabakatı</w:t>
      </w:r>
    </w:p>
    <w:p w14:paraId="24A1A665" w14:textId="1835A4F1"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Avrupa Komisyonu tarafından hazırlanan “Temiz Sanayi Mutabakatı-TSM” belgesi, 26 Şubat 2025 tarihinde Komisyon Başkanı Ursula Von Der Leyen tarafından açıklanmıştır.</w:t>
      </w:r>
    </w:p>
    <w:p w14:paraId="14448DA2" w14:textId="362699DB"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Avrupa sanayisinin rekabetçiliğini koruyarak karbonsuzlaşmasını sağlamayı öngören Temiz Sanayi Mutabakatı, karbonsuzlaşmayı hızlandırmayı, döngüsel ekonomiyi teşvik etmeyi ve sanayileşmeyi yeniden canlandırmayı hedeflemekte; firmalar için AB’nin iklim hedeflerine ilişkin uzun vadeli öngörülebilirlik sunarak yatırım yapmalarını ve yatırım risklerinin en aza indirilmesini amaçlamaktadır.</w:t>
      </w:r>
    </w:p>
    <w:p w14:paraId="24FA3E0B" w14:textId="6A909588"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Bu kapsamda, söz konusu belgede ele alınan başlıca hususlar aşağıda özetlenmektedir:</w:t>
      </w:r>
    </w:p>
    <w:p w14:paraId="789155A2"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zengin ve öncü bir sanayi temeli bulunmakla birlikte, jeopolitik gerilimlerin artması, ekonomik büyümenin yavaşlaması ve teknolojik rekabetin artması sebebiyle, rekabetçilik ve karbonsuzlaşma stratejisileri aynı zamanda bir güvenlik zorunluluğu olarak görülmektedir. Bu nedenle, AB, iklim krizi, rekabetçilik ve ekonomik dayanıklılık olmak üzere üç zorluğu aynı anda ve acilen ele almalıdır.</w:t>
      </w:r>
    </w:p>
    <w:p w14:paraId="0A5AF038"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Draghi Raporu ve Rekabetçilik Pusulası’nda vurgulandığı gibi, karbonsuzlaşma politikaları sanayi, rekabet, ekonomi ve ticaret politikalarıyla iyi entegre edildiğinde güçlü bir büyüme motoru haline gelebilir. Özellikle yüksek enerji fiyatları ve küresel çapta yoğun rekabetle karşı karşıya olan AB sanayileri, varoluşsal tehditlerle mücadele etmekte olup, verimlilik artışı açısından diğer büyük güçlerden geride kalma tehlikesiyle karşı karşıyadır.</w:t>
      </w:r>
    </w:p>
    <w:p w14:paraId="5551912B"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Bahse konu sebeplerle, AB’nin acil bir dönüşüm için yeni bir iş planına ihtiyacı bulunmaktadır ve bu çerçevede, Temiz Sanayi Mutabakatı hazırlanmıştır. Böylece, iklim eylemi ve rekabetçilik tek bir kapsamlı büyüme stratejisi altında bir araya getirilmektedir.</w:t>
      </w:r>
    </w:p>
    <w:p w14:paraId="5FB9315F"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TSM’nin temel odağı acilen karbonsuzlaşma ve elektrifikasyon ihtiyacı bulunan ve yüksek enerji maliyetleri ile haksız rekabetle mücadele konusunda desteğe ihtiyaç duyan çelik, metal ve kimyasallar gibi enerji yoğun sanayiler ve geleceğin rekabetçiliğinin merkezinde yer alan ve sanayi dönüşümü, döngüsellik ve karbonsuzlaşma için kritik öneme sahip olan temiz teknoloji sektörüdür. AB'nin iklim nötr hedeflerine ulaşması ve geleceğin teknolojilerini AB'de üretebilmesi için bir an önce harekete geçmesi gerekmektedir.</w:t>
      </w:r>
    </w:p>
    <w:p w14:paraId="41303D2B"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sınırlı kaynaklarını en verimli şekilde kullanmanın, dışa bağımlılığı azaltmanın ve ekonomik dayanıklılığı artırmanın anahtarı olarak döngüsellik öncelikli bir ayak olarak belirlenmiştir. TSM ile AB’nin 2030 yılına kadar döngüsel ekonomi alanında dünya lideri olması hedeflenmektedir.</w:t>
      </w:r>
    </w:p>
    <w:p w14:paraId="17F9FA6E" w14:textId="77777777" w:rsidR="006C1D43"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Büyüme ve refah odaklı yeni bir Avrupa sanayi ekosistemi geliştirilebilmesi amacıyla, tüm değer zincirine bütüncül bir bakış açısıyla yaklaşarak, altı temel adım belirlenmiştir. Bu kapsamda, uygun fiyatlı enerji, öncü pazarlar yaratılması, finansman, döngüsellik ve hammaddeye erişim, küresel pazarlar ve uluslararası ortaklıklar ile yetkin iş gücü sağlanması adımları kapsamında stratejiler oluşturulmuştur.</w:t>
      </w:r>
    </w:p>
    <w:p w14:paraId="0E5D949C" w14:textId="640F736D" w:rsidR="00AA21BA" w:rsidRPr="00AA21BA" w:rsidRDefault="006C1D43" w:rsidP="00AA21BA">
      <w:pPr>
        <w:pStyle w:val="ListeParagraf"/>
        <w:numPr>
          <w:ilvl w:val="0"/>
          <w:numId w:val="1"/>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Ek olarak, rekabetçi bir ekonomi için gerekli olan yatay unsurlar kapsamında, bürokrasinin azaltılması, aday ülkelerin kademeli entegrasyonu dahil olmak üzere tek pazarın ölçeğinden tam anlamıyla faydalanılması, dijitalleşmenin hızlandırılması, yenilikçiliğin daha hızlı uygulanması, kaliteli istihdamın teşvik edilmesi ve AB ve ulusal politikaların daha iyi koordinasyonu eylemleri ele alınmaktadır.</w:t>
      </w:r>
    </w:p>
    <w:p w14:paraId="54AB81A0" w14:textId="36A0FA98" w:rsidR="006C1D43" w:rsidRPr="00AA21BA" w:rsidRDefault="006C1D43" w:rsidP="00AA21BA">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lastRenderedPageBreak/>
        <w:t>Uygun Fiyatlı Enerjiye Erişim Sağlanması</w:t>
      </w:r>
    </w:p>
    <w:p w14:paraId="15D16C5A" w14:textId="1C16B927"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fosil yakıtlara bağımlılığı ve enerji fiyatlarında son yıllardaki dalgalanmalar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sebebiyle, uygun fiyatlı enerjiye erişim, AB’nin rekabetçiliğinin korunması için temel öncelik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olarak görülmektedir.</w:t>
      </w:r>
    </w:p>
    <w:p w14:paraId="2FA5AFA2" w14:textId="17F1CB24" w:rsidR="006C1D43" w:rsidRPr="00AA21BA" w:rsidRDefault="006C1D43" w:rsidP="00AA21BA">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Bu kapsamda, AB’de enerji maliyetlerini düşürmek için elektrifikasyonun ve temiz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yerel olarak üretilen enerjiye geçişin hızlandırılması, fiziksel bağlantılar yoluyla iç enerji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pazarının tamamlanması ve herkesin faydalanacağı bir Enerji Birliği oluşturulması amacıyla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“Uygun Fiyatlı Enerji için bir Eylem Planı” kabul edilmiştir.</w:t>
      </w:r>
    </w:p>
    <w:p w14:paraId="499D38A6" w14:textId="421DEE01" w:rsidR="006C1D43"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Elektrik maliyetlerinin azaltılması: </w:t>
      </w:r>
      <w:r w:rsidRPr="00AA21BA">
        <w:rPr>
          <w:rFonts w:ascii="Times New Roman" w:hAnsi="Times New Roman" w:cs="Times New Roman"/>
          <w:color w:val="000000"/>
          <w:sz w:val="24"/>
          <w:szCs w:val="24"/>
        </w:rPr>
        <w:t>Elektrik maliyetlerini düşürmenin ilk adımı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olarak, 2024 yılında kabul edilen Elektrik Piyasası Tasarımı reformlarının uygulanmasına atıf</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yapılmaktadır.</w:t>
      </w:r>
    </w:p>
    <w:p w14:paraId="4955D471"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İlaveten, yine 26 Şubat 2025 tarihinde Avrupa Yatırım Bankası (EIB) ile birlikte,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kurumsal Elektrik Satın Alma Anlaşmaları (Power-Purchase Agreements-PPA) için 500</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milyon Avroluk bir pilot program başlatılmıştır. Bu program kapsamında, EIB özellikle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KOBİ’ler, orta ölçekli işletmeler ve enerji yoğun sanayiler tarafından yapılan uzun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vadeli elektrik alımlarının bir kısmına karşı garanti sağlayacaktır. Ayrıca, EIB Avrupa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tedarik zincirini desteklemek amacıyla, şebeke bileşenleri üreticilerine yönelik en az 1,5</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milyar Avroluk bir "Şebeke Üretim Paketi" sunacak ve üreticilere karşı garantiler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sağlayarak Avrupa'daki enerji altyapısının güçlendirilmesine katkıda bulunacaktır.</w:t>
      </w:r>
    </w:p>
    <w:p w14:paraId="086F890A"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2025 yılı Haziran ayına kadar devlet yardımı kuralları basitleştirilecek ve üye devletlere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fark sözleşmeleri (contracts for difference) tasarlamaları konusunda rehberlik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sağlanacaktır.</w:t>
      </w:r>
    </w:p>
    <w:p w14:paraId="38E4AE23" w14:textId="77777777"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Üye devletler, elektrifikasyonu teşvik edecek ve fosil yakıtların kullanımını caydırıcı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olacak şekilde Enerji Vergilendirme Direktifine ilişkin müzakereleri acilen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tamamlamalıdır.</w:t>
      </w:r>
    </w:p>
    <w:p w14:paraId="58DA4E38" w14:textId="5F52A731" w:rsidR="00AA21BA" w:rsidRPr="00AA21BA" w:rsidRDefault="006C1D43" w:rsidP="00AA21BA">
      <w:pPr>
        <w:pStyle w:val="ListeParagraf"/>
        <w:numPr>
          <w:ilvl w:val="0"/>
          <w:numId w:val="2"/>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Etkili bir bağlantı altyapısı sağlanabilmesi için Trans-Avrupa Enerji Ağlarını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basitleştirecek şekilde Avrupa Enerji Şebekesi Paketi hazırlanacaktır.</w:t>
      </w:r>
    </w:p>
    <w:p w14:paraId="37FA90BA" w14:textId="4AA9BD1F" w:rsidR="00AA21BA"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Temiz enerji ve üretimin yayılmasını hızlandırmak: </w:t>
      </w:r>
      <w:r w:rsidRPr="00AA21BA">
        <w:rPr>
          <w:rFonts w:ascii="Times New Roman" w:hAnsi="Times New Roman" w:cs="Times New Roman"/>
          <w:color w:val="000000"/>
          <w:sz w:val="24"/>
          <w:szCs w:val="24"/>
        </w:rPr>
        <w:t>Uzun süren izin verme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prosedürleri, elektrifikasyona gitmek isteyen enerji yoğun sanayiler için engel oluşturmaktadır.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nedenle, Komisyon, Endüstriyel Karbonsuzlaşma Hızlandırıcı Yasası'nda, endüstrilerin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enerjiye erişimi ve izin engellerini aşmaya yönelik somut önlemler önerecektir.</w:t>
      </w:r>
    </w:p>
    <w:p w14:paraId="7BA844FD" w14:textId="1048A93A" w:rsidR="00AA21BA" w:rsidRPr="00AA21BA" w:rsidRDefault="006C1D43" w:rsidP="00AA21BA">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İyi işleyen gaz piyasalarının sağlanması: </w:t>
      </w:r>
      <w:r w:rsidRPr="00AA21BA">
        <w:rPr>
          <w:rFonts w:ascii="Times New Roman" w:hAnsi="Times New Roman" w:cs="Times New Roman"/>
          <w:color w:val="000000"/>
          <w:sz w:val="24"/>
          <w:szCs w:val="24"/>
        </w:rPr>
        <w:t>AB doğal gaz piyasalarının kapsamlı bir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şekilde incelenmesi amacıyla bir Gaz Piyasası Görev Gücü oluşturulmuştur. Bu kapsamda,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mevzuatsal değişiklik ihtiyacını değerlendirmek amacıyla geniş bir paydaş istişare süreci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başlatılacaktır.</w:t>
      </w:r>
    </w:p>
    <w:p w14:paraId="401250B0" w14:textId="6F1E74DC" w:rsidR="006C1D43" w:rsidRPr="00AA21BA"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Öncü pazarlar: Temiz Arz ve Talebin Artırılması</w:t>
      </w:r>
    </w:p>
    <w:p w14:paraId="0EB79850" w14:textId="09A45B9F"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Karbonsuzlaşma kapsamında üretimin artması için, bu şekilde üretilen ürünlere yönelik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güçlü bir talep yaratılması gerekmektedir. Bu kapsamda planlanan adımlar aşağıda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sıralanmaktadır:</w:t>
      </w:r>
    </w:p>
    <w:p w14:paraId="20CA4C37" w14:textId="008F2DDB"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Kamu ihalelerinde fiyat dışı kriterler ve özel alımlar için teşvikler: </w:t>
      </w:r>
      <w:r w:rsidRPr="00AA21BA">
        <w:rPr>
          <w:rFonts w:ascii="Times New Roman" w:hAnsi="Times New Roman" w:cs="Times New Roman"/>
          <w:color w:val="000000"/>
          <w:sz w:val="24"/>
          <w:szCs w:val="24"/>
        </w:rPr>
        <w:t>Komisyon,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 xml:space="preserve">2026 yılında Kamu İhale </w:t>
      </w:r>
      <w:r w:rsidR="00920BFD" w:rsidRPr="00AA21BA">
        <w:rPr>
          <w:rFonts w:ascii="Times New Roman" w:hAnsi="Times New Roman" w:cs="Times New Roman"/>
          <w:color w:val="000000"/>
          <w:sz w:val="24"/>
          <w:szCs w:val="24"/>
        </w:rPr>
        <w:t>Çerçevesinin</w:t>
      </w:r>
      <w:r w:rsidRPr="00AA21BA">
        <w:rPr>
          <w:rFonts w:ascii="Times New Roman" w:hAnsi="Times New Roman" w:cs="Times New Roman"/>
          <w:color w:val="000000"/>
          <w:sz w:val="24"/>
          <w:szCs w:val="24"/>
        </w:rPr>
        <w:t xml:space="preserve"> gözden geçirilmesine yönelik bir taslak öneri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sunacaktır. Bu kapsamda, farklı yasal düzenlemelerde yer alan kamu ihaleleri hükümlerini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inceleyecek ve uygulamalar basitleştirilecektir. Ayrıca, stratejik sektörler için kamu alımlarında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sürdürülebilirlik ve dayanıklılık kriterleri getirilecek, AB’nin temiz sektörlerdeki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rekabetçiliğini artırarak, söz</w:t>
      </w:r>
      <w:r w:rsidR="00920BFD">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konusu</w:t>
      </w:r>
      <w:r w:rsidR="00920BFD">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ürünlerin sürdürülebilir üretimi ve bu alanda istihdamın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artırılmasına katkı sunulacaktır. Öncü pazarlar yaratılması, üretim maliyetlerini düşürerek ölçek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ekonomilerini harekete geçirecek ve sürdürülebilir alternatifleri daha erişilebilir hale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getirecektir. Böylece artan talep ise sanayinin daha temiz ve döngüsel üretim yöntemlerine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geçişini hızlandıracaktır.</w:t>
      </w:r>
    </w:p>
    <w:p w14:paraId="6D6A442E" w14:textId="0BDA9E65"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Öte yandan, Endüstriyel Karbonsuzlaşma Hızlandırıcı Yasası ile sanayi ürünlerinin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karbon yoğunluğuna ilişkin olarak, ETS ve SKDM metodolojilerine dayanan gönüllü bir etiket</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sistemi geliştirilecektir. Çelik ürününde bu uygulamanın 2025 yılı içerisinde başlaması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öngörülmektedir.</w:t>
      </w:r>
    </w:p>
    <w:p w14:paraId="66602F77" w14:textId="77777777"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Yenilenebilir ve düşük karbonlu hidrojen kullanımını teşvik etmek</w:t>
      </w:r>
      <w:r w:rsidRPr="00AA21BA">
        <w:rPr>
          <w:rFonts w:ascii="Times New Roman" w:hAnsi="Times New Roman" w:cs="Times New Roman"/>
          <w:color w:val="000000"/>
          <w:sz w:val="24"/>
          <w:szCs w:val="24"/>
        </w:rPr>
        <w:t>: 2025 yılının</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ilk çeyreğinde düşük karbonlu hidrojenle ilgili yetki devrine dayanan yasa kabul edilecektir. Bu</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kapsamda, düşük karbonlu hidrojen üretme kuralları netleştirilerek yatırımcılara güvence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sağlanacaktır.</w:t>
      </w:r>
    </w:p>
    <w:p w14:paraId="08034C6A" w14:textId="13B01D49"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İlaveten, 2025'in üçüncü çeyreğinde Hidrojen Bankası kapsamında 1 milyar Avroya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kadar bir bütçesi olan üçüncü çağrı duyurulacaktır ve yine Avrupa Hidrojen Bankası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kapsamında 2025'in ikinci çeyreğinde Hidrojen Mekanizması hayata geçirilecektir.</w:t>
      </w:r>
    </w:p>
    <w:p w14:paraId="019727CC" w14:textId="7038AB45" w:rsidR="006C1D43" w:rsidRPr="00AA21BA"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Kamu ve Özel Yatırımlar</w:t>
      </w:r>
    </w:p>
    <w:p w14:paraId="24F27F2B" w14:textId="30D4476A"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 sanayisinin sermayeye hızlıca erişimini sağlamak ve kısa vadeli bir rahatlama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sağlamak amacıyla, TSM kapsamında, 100 milyar Avronun üzerinde bir kaynak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duyurulmuştur. Kamu ve özel sektör yatırımların artırılması amacıyla yapılması öngörülenler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aşağıda sıralanmaktadır:</w:t>
      </w:r>
    </w:p>
    <w:p w14:paraId="1AE3102F" w14:textId="77777777" w:rsidR="00AA21BA"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AB düzeyindeki fonların güçlendirilmesi: </w:t>
      </w:r>
      <w:r w:rsidRPr="00AA21BA">
        <w:rPr>
          <w:rFonts w:ascii="Times New Roman" w:hAnsi="Times New Roman" w:cs="Times New Roman"/>
          <w:color w:val="000000"/>
          <w:sz w:val="24"/>
          <w:szCs w:val="24"/>
        </w:rPr>
        <w:t>Yenilikçilik Fonundaki kaynaklar,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ETS'nin bazı kısımlarından elde edilen ek gelirler ve InvestEU'nun revizyonu temelinde 100</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milyar Avro finansman hedefleyen bir Endüstriyel Karbonsuzlaşma Bankası taslağı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sunulacaktır. ETS Direktifi'nin 2026'daki revizyonundan önce, 2025 yılı içerisinde, çeşitli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sektörlerdeki kilit endüstriyel süreçlerin karbonsuzlaşmayı desteklemek ve endüstriyel</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elektrifikasyonu teşvik etmek amacıyla, Yenilikçilik Fonu'ndaki mevcut kaynaklar ve ihale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hizmetlerinin bir kombinasyonunu kullanarak 1 milyar Avroluk bir pilot ihale başlatılacaktır.</w:t>
      </w:r>
    </w:p>
    <w:p w14:paraId="7458F893" w14:textId="3A7AFA5A" w:rsidR="006C1D43" w:rsidRPr="00AA21BA"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Ayrıca, 2025'te Yenilikçilik Fonu'ndan temiz teknoloji, batarya üretimi, Hidrojen Bankası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endüstriyel karbonsuzlaşmaya yönelik olarak 6 milyar Avro taahhüt ayrılacaktır.</w:t>
      </w:r>
    </w:p>
    <w:p w14:paraId="508C2410" w14:textId="17590AE2" w:rsidR="006C1D43" w:rsidRPr="00AA21BA"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AA21BA">
        <w:rPr>
          <w:rFonts w:ascii="Times New Roman" w:hAnsi="Times New Roman" w:cs="Times New Roman"/>
          <w:b/>
          <w:bCs/>
          <w:color w:val="000000"/>
          <w:sz w:val="24"/>
          <w:szCs w:val="24"/>
        </w:rPr>
        <w:t xml:space="preserve"> Özel yatırımların harekete geçirilmesi</w:t>
      </w:r>
      <w:r w:rsidRPr="00AA21BA">
        <w:rPr>
          <w:rFonts w:ascii="Times New Roman" w:hAnsi="Times New Roman" w:cs="Times New Roman"/>
          <w:color w:val="000000"/>
          <w:sz w:val="24"/>
          <w:szCs w:val="24"/>
        </w:rPr>
        <w:t>: Komisyon tarafından, InvestEU'nun risk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taşıma kapasitesini artırmak amacıyla InvestEU Tüzüğünde bir değişiklik önerisi sunacak ve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öneri ile yaklaşık 50 milyar Avro ek finansman ve yatırım sağlanacaktır. Ayrıca Avrupa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Yatırım Bankası (AYB) ile birlikte, TSM’ye özel olarak hedeflenen sektörlerde yeni destek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imkanlarına yönelik çalışmalar yapılacaktır.</w:t>
      </w:r>
    </w:p>
    <w:p w14:paraId="6B0307F9" w14:textId="03FCF4EF" w:rsidR="0066460C" w:rsidRP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 xml:space="preserve"> Temiz Sanayi Mutabakatı Devlet Yardımları Çerçevesi ve diğer destek ve</w:t>
      </w:r>
      <w:r w:rsidR="00AA21BA" w:rsidRPr="00AA21BA">
        <w:rPr>
          <w:rFonts w:ascii="Times New Roman" w:hAnsi="Times New Roman" w:cs="Times New Roman"/>
          <w:b/>
          <w:bCs/>
          <w:color w:val="000000"/>
          <w:sz w:val="24"/>
          <w:szCs w:val="24"/>
        </w:rPr>
        <w:t xml:space="preserve"> </w:t>
      </w:r>
      <w:r w:rsidRPr="00AA21BA">
        <w:rPr>
          <w:rFonts w:ascii="Times New Roman" w:hAnsi="Times New Roman" w:cs="Times New Roman"/>
          <w:b/>
          <w:bCs/>
          <w:color w:val="000000"/>
          <w:sz w:val="24"/>
          <w:szCs w:val="24"/>
        </w:rPr>
        <w:t xml:space="preserve">kolaylaştırmalar: </w:t>
      </w:r>
      <w:r w:rsidRPr="00AA21BA">
        <w:rPr>
          <w:rFonts w:ascii="Times New Roman" w:hAnsi="Times New Roman" w:cs="Times New Roman"/>
          <w:color w:val="000000"/>
          <w:sz w:val="24"/>
          <w:szCs w:val="24"/>
        </w:rPr>
        <w:t>TSM Devlet Yardımları Çerçevesi ile Üye Devletlere beş yıllık bir planlama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sunarak, TSM hedeflerine yönelik projelere yatırım için öngörülebilirlik sağlanacaktır. Ayrıca,</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üye devletlerin, yeşil işleri destekleyecek şekilde Kurumsal vergi sistemlerini düzenlemeleri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önerilmektedir.</w:t>
      </w:r>
    </w:p>
    <w:p w14:paraId="5D582546" w14:textId="50AA7908" w:rsidR="006C1D43"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AA21BA">
        <w:rPr>
          <w:rFonts w:ascii="Times New Roman" w:hAnsi="Times New Roman" w:cs="Times New Roman"/>
          <w:b/>
          <w:bCs/>
          <w:color w:val="000000"/>
          <w:sz w:val="24"/>
          <w:szCs w:val="24"/>
        </w:rPr>
        <w:t>Döngüsel Ekonomiyi Güçlendirmek: Girdi ve Kaynaklara Güvenli Erişim</w:t>
      </w:r>
    </w:p>
    <w:p w14:paraId="36F2003F" w14:textId="6EF572D8" w:rsidR="0066460C" w:rsidRPr="0066460C" w:rsidRDefault="0066460C" w:rsidP="0066460C">
      <w:pPr>
        <w:pStyle w:val="ListeParagraf"/>
        <w:autoSpaceDE w:val="0"/>
        <w:autoSpaceDN w:val="0"/>
        <w:adjustRightInd w:val="0"/>
        <w:spacing w:after="120" w:line="240" w:lineRule="auto"/>
        <w:ind w:left="0"/>
        <w:contextualSpacing w:val="0"/>
        <w:jc w:val="both"/>
        <w:rPr>
          <w:rFonts w:ascii="Times New Roman" w:hAnsi="Times New Roman" w:cs="Times New Roman"/>
          <w:b/>
          <w:bCs/>
          <w:color w:val="000000"/>
          <w:sz w:val="24"/>
          <w:szCs w:val="24"/>
        </w:rPr>
      </w:pPr>
      <w:r w:rsidRPr="0066460C">
        <w:rPr>
          <w:rFonts w:ascii="Times New Roman" w:hAnsi="Times New Roman" w:cs="Times New Roman"/>
          <w:color w:val="000000"/>
          <w:sz w:val="24"/>
          <w:szCs w:val="24"/>
        </w:rPr>
        <w:t>Döngüselliği karbon azaltma stratejisinin merkezine yerleştirerek, temel girdilerin erişilebilirliği artırılacak, ayrıca girdilerin yeniden kullanılması, yeniden üretilmesi, geri dönüştürülmesi ve ekonomide daha uzun süre tutulması yoluyla dışa bağımlılık azaltılacaktır. AB’de halihazırda 31 milyar Avro değerinde olan döngüsel üretim potansiyelinin, 2030 yılına kadar 100 milyar Avroya çıkması ve 500.000 yeni iş yaratması öngörülmektedir</w:t>
      </w:r>
      <w:r>
        <w:rPr>
          <w:rFonts w:ascii="Times New Roman" w:hAnsi="Times New Roman" w:cs="Times New Roman"/>
          <w:color w:val="000000"/>
          <w:sz w:val="24"/>
          <w:szCs w:val="24"/>
        </w:rPr>
        <w:t>.</w:t>
      </w:r>
    </w:p>
    <w:p w14:paraId="2245920B" w14:textId="77777777" w:rsid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Kritik Hammaddeler Yasası’nın Hızlıca Uygulanması:</w:t>
      </w:r>
      <w:r w:rsidRPr="0066460C">
        <w:rPr>
          <w:rFonts w:ascii="Times New Roman" w:hAnsi="Times New Roman" w:cs="Times New Roman"/>
          <w:b/>
          <w:bCs/>
          <w:color w:val="000000"/>
          <w:sz w:val="24"/>
          <w:szCs w:val="24"/>
        </w:rPr>
        <w:t xml:space="preserve"> </w:t>
      </w:r>
      <w:r w:rsidR="006C1D43" w:rsidRPr="0066460C">
        <w:rPr>
          <w:rFonts w:ascii="Times New Roman" w:hAnsi="Times New Roman" w:cs="Times New Roman"/>
          <w:color w:val="000000"/>
          <w:sz w:val="24"/>
          <w:szCs w:val="24"/>
        </w:rPr>
        <w:t>İkiz dönüşüm için gerekli</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olan ve ağırlıklı olarak üçüncü ülke arzına bağlı olan hammaddelere erişimin bir an önce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sağlanması amacıyla Kritik Hammaddeler Yasası’nın uygulanması önceliklendirilmiştir. Bu</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doğrultuda, Mart 2025 tarihinde Stratejik Projelere ilişkin ilk liste açıklanacaktır. Ayrıca,</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Komisyon, şirketler adına ve Üye Devletlerle iş</w:t>
      </w:r>
      <w:r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birliği içinde toplu olarak hammadde alımları</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yapmak üzere özel bir AB Kritik Hammaddeler Merkezi oluşturacaktır.</w:t>
      </w:r>
    </w:p>
    <w:p w14:paraId="389FF97C" w14:textId="77777777"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Döngüsel Ekonomi: </w:t>
      </w:r>
      <w:r w:rsidRPr="0066460C">
        <w:rPr>
          <w:rFonts w:ascii="Times New Roman" w:hAnsi="Times New Roman" w:cs="Times New Roman"/>
          <w:color w:val="000000"/>
          <w:sz w:val="24"/>
          <w:szCs w:val="24"/>
        </w:rPr>
        <w:t>Komisyon, 2026 yılında bir Döngüsel Ekonomi Yasası kabul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edecektir. Bu kapsamda, mevcut kuralları basitleştirme odağıyla gözden geçirilecek, atık sonu</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kriteri AB düzeyinde uyumlaştırılacak, metal hurda kullanımını artırmak için teşvikler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sunulacak ve yıkım izinleri ile yıkım öncesi denetimlerin dijitalleştirilmesi zorunlu olacaktır.</w:t>
      </w:r>
    </w:p>
    <w:p w14:paraId="65541633" w14:textId="5E75866B" w:rsidR="0066460C"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Söz</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konusu tüzük kapsamındaki çalışma planı Nisan 2025’te kabul edilecektir.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İlaveten, Üye Devletler ve ilgili ekonomik aktörler arasındaki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birliğini, geri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dönüşümde uzmanlaşmayı ve ölçek ekonomilerini teşvik etmek amacıyla Trans-Bölgesel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Döngüsellik Merkezleri oluşturulacaktır. Batarya geri dönüşümü için kritik olan batarya geri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dönüşüm atığı (black mass) ihracatına, arz sıkıntısı yaratması nedeniyle özel düzenlemeler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getirilecektir. Ayrıca, Komisyon, ikinci el ürünlerde gömülü KDV sorununu ele almak</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 xml:space="preserve">amacıyla, KDV </w:t>
      </w:r>
      <w:r w:rsidR="00D05F5F" w:rsidRPr="0066460C">
        <w:rPr>
          <w:rFonts w:ascii="Times New Roman" w:hAnsi="Times New Roman" w:cs="Times New Roman"/>
          <w:color w:val="000000"/>
          <w:sz w:val="24"/>
          <w:szCs w:val="24"/>
        </w:rPr>
        <w:t>Direktifinde</w:t>
      </w:r>
      <w:r w:rsidRPr="0066460C">
        <w:rPr>
          <w:rFonts w:ascii="Times New Roman" w:hAnsi="Times New Roman" w:cs="Times New Roman"/>
          <w:color w:val="000000"/>
          <w:sz w:val="24"/>
          <w:szCs w:val="24"/>
        </w:rPr>
        <w:t xml:space="preserve"> yer alan ikinci el eşya düzenlemelerini gözden geçirecektir.</w:t>
      </w:r>
    </w:p>
    <w:p w14:paraId="0FB76C84" w14:textId="3A2F58AA" w:rsidR="006C1D43" w:rsidRP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Küresel Piyasalar ve Uluslararası Ortaklıklar</w:t>
      </w:r>
    </w:p>
    <w:p w14:paraId="365CCF7E" w14:textId="28A36457" w:rsidR="0066460C"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AB’nin, küresel ortaklıklar olmadan temiz sanayileşme hedeflerini gerçekleştirmesi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mümkün görülmemektedir. Uluslararası iş</w:t>
      </w:r>
      <w:r w:rsidR="00D05F5F">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birlikleri geliştirilmesi doğrultusunda atılması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planlanan adımlar aşağıda sıralanmaktadır:</w:t>
      </w:r>
    </w:p>
    <w:p w14:paraId="338129D1" w14:textId="77777777"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Temiz Ticaret ve Yatırım Ortaklıkları: </w:t>
      </w:r>
      <w:r w:rsidRPr="0066460C">
        <w:rPr>
          <w:rFonts w:ascii="Times New Roman" w:hAnsi="Times New Roman" w:cs="Times New Roman"/>
          <w:color w:val="000000"/>
          <w:sz w:val="24"/>
          <w:szCs w:val="24"/>
        </w:rPr>
        <w:t>AB'nin geniş ticaret anlaşmaları ağı</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sayesinde, AB şirketlerinin üçüncü pazarlara ve temel girdilere erişimi güçlü bir şekilde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sağlanmaktadır. AB'nin mevcut Serbest Ticaret Anlaşmalarını (STA) uygulamaya ve yeni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STA'lar için müzakerelerine devam etmesi tavsiye edilmektedir.</w:t>
      </w:r>
    </w:p>
    <w:p w14:paraId="0EE8897E" w14:textId="357A1C7B"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İlaveten, Temiz Ticaret ve Yatırım Ortaklıkları (TTYO) akdedilerek, temiz işlere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hammaddeye erişime odaklı uluslararası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birlikleri geliştirilmesi öngörülmektedir. TTYO’lar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kapsamında, somut projeler belirlenerek özel ve kamu finansmanı birleştirilecek ve Küresel</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Geçit yatırım yaklaşımıyla yatırımlar harekete geçirilecektir. TTYO’lar kapsamında belirlenen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kurallar ile temiz yatırım olanakları ve AB şirketlerinin yabancı pazarlarda eşit koşullarda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faaliyet göstermesi desteklenecektir. TTYO’lar ile temiz teknoloji yatırımlarını teşvik eden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küresel geçişi hızlandıran güvenilir ve öngörülebilir ortaklıklar oluşturulması</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hedeflenmektedir. Komisyon, ilk TTYO’yu Mart ayında başlatmayı öngörmektedir.</w:t>
      </w:r>
    </w:p>
    <w:p w14:paraId="4D3E1AEB" w14:textId="28B4A712"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 xml:space="preserve">Sınırda Karbon Düzenleme </w:t>
      </w:r>
      <w:r w:rsidR="00D05F5F" w:rsidRPr="0066460C">
        <w:rPr>
          <w:rFonts w:ascii="Times New Roman" w:hAnsi="Times New Roman" w:cs="Times New Roman"/>
          <w:b/>
          <w:bCs/>
          <w:color w:val="000000"/>
          <w:sz w:val="24"/>
          <w:szCs w:val="24"/>
        </w:rPr>
        <w:t>Mekanizmasının</w:t>
      </w:r>
      <w:r w:rsidRPr="0066460C">
        <w:rPr>
          <w:rFonts w:ascii="Times New Roman" w:hAnsi="Times New Roman" w:cs="Times New Roman"/>
          <w:b/>
          <w:bCs/>
          <w:color w:val="000000"/>
          <w:sz w:val="24"/>
          <w:szCs w:val="24"/>
        </w:rPr>
        <w:t xml:space="preserve"> (SKDM) İyileştirilmesi:</w:t>
      </w:r>
    </w:p>
    <w:p w14:paraId="3F2BF57B" w14:textId="10E50330"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color w:val="000000"/>
          <w:sz w:val="24"/>
          <w:szCs w:val="24"/>
        </w:rPr>
        <w:t>SKDM’nin basitleştirilmesi ve etkinleştirilmesi amacıyla, 2025'in ikinci yarısında, Komisyon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tarafından kapsamlı bir SKDM inceleme raporu sunulacaktır. Anılan rapor kapsamında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SKDM’nin ek AB ETS sektörlerine ve alt ürünlere genişletilmesi değerlendirilecek, AB</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üreticileri için elektrikle ilgili dolaylı maliyetler göz önüne alınarak, tüm SKDM sektörlerinde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dolaylı emisyonların dahil edilmesi hususu incelenecektir. Ayrıca olası etkisizleştirme risklerini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ele almak için bir strateji belirlenecektir. Söz</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konusu inceleme sonrasında 2026'nın ilk yarısında</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 yasal öneri sunulması beklenmektedir.</w:t>
      </w:r>
    </w:p>
    <w:p w14:paraId="5D84AD27" w14:textId="3CB7F8FE" w:rsidR="0066460C" w:rsidRDefault="006C1D43"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b/>
          <w:bCs/>
          <w:color w:val="000000"/>
          <w:sz w:val="24"/>
          <w:szCs w:val="24"/>
        </w:rPr>
        <w:t xml:space="preserve"> Teşvik ve koruma: AB endüstrisi için eşit rekabet şartlarının sağlanması</w:t>
      </w:r>
      <w:r w:rsidRPr="0066460C">
        <w:rPr>
          <w:rFonts w:ascii="Times New Roman" w:hAnsi="Times New Roman" w:cs="Times New Roman"/>
          <w:color w:val="000000"/>
          <w:sz w:val="24"/>
          <w:szCs w:val="24"/>
        </w:rPr>
        <w:t>:</w:t>
      </w:r>
      <w:r w:rsid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Komisyon, sektör paydaşları ve Üye Devletlerle yakın iş</w:t>
      </w:r>
      <w:r w:rsidR="00D05F5F">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birliği içinde, AB endüstrisinin uzun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vadeli rekabet gücüne, teknolojik üstünlüğüne, ekonomik dayanıklılığına ve kaliteli işlerin</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yaratılmasına daha iyi katkı sağlayacak yabancı yatırımlar çekilmesine yönelik önlemler</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önerecektir.</w:t>
      </w:r>
      <w:r w:rsidR="0066460C">
        <w:rPr>
          <w:rFonts w:ascii="Times New Roman" w:hAnsi="Times New Roman" w:cs="Times New Roman"/>
          <w:color w:val="000000"/>
          <w:sz w:val="24"/>
          <w:szCs w:val="24"/>
        </w:rPr>
        <w:t xml:space="preserve"> </w:t>
      </w:r>
    </w:p>
    <w:p w14:paraId="5D82C7CD" w14:textId="68213895" w:rsidR="006C1D43" w:rsidRPr="0066460C" w:rsidRDefault="006C1D43" w:rsidP="0066460C">
      <w:pPr>
        <w:pStyle w:val="ListeParagraf"/>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Komisyon, gerektiğinde, anti-damping veya anti-sübvansiyon vergileri gibi ticaret</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savunma araçlarını hızlı ve verimli bir şekilde kullanmaya devam edecektir. AB sanayisini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haksız rekabetten korumak ve AB pazarının devlet destekli aşırı küresel kapasite için ihracat</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hedefi haline gelmemesini sağlamak amacıyla mevcut ticaret savunma araçları kullanılacak ve</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soruşturma sürelerini kısaltılarak uygulama kolaylaştırılacaktır.</w:t>
      </w:r>
    </w:p>
    <w:p w14:paraId="2BF3A90F" w14:textId="77777777" w:rsid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Sosyal adalet ve adil bir geçiş için becerilerin geliştirilmesi ve kaliteli istihdam</w:t>
      </w:r>
      <w:r w:rsidR="00AA21BA" w:rsidRPr="0066460C">
        <w:rPr>
          <w:rFonts w:ascii="Times New Roman" w:hAnsi="Times New Roman" w:cs="Times New Roman"/>
          <w:b/>
          <w:bCs/>
          <w:color w:val="000000"/>
          <w:sz w:val="24"/>
          <w:szCs w:val="24"/>
        </w:rPr>
        <w:t xml:space="preserve"> </w:t>
      </w:r>
      <w:r w:rsidRPr="0066460C">
        <w:rPr>
          <w:rFonts w:ascii="Times New Roman" w:hAnsi="Times New Roman" w:cs="Times New Roman"/>
          <w:b/>
          <w:bCs/>
          <w:color w:val="000000"/>
          <w:sz w:val="24"/>
          <w:szCs w:val="24"/>
        </w:rPr>
        <w:t>yaratılması</w:t>
      </w:r>
      <w:r w:rsidR="0066460C">
        <w:rPr>
          <w:rFonts w:ascii="Times New Roman" w:hAnsi="Times New Roman" w:cs="Times New Roman"/>
          <w:b/>
          <w:bCs/>
          <w:color w:val="000000"/>
          <w:sz w:val="24"/>
          <w:szCs w:val="24"/>
        </w:rPr>
        <w:t xml:space="preserve"> </w:t>
      </w:r>
    </w:p>
    <w:p w14:paraId="09A63E3F" w14:textId="77777777" w:rsidR="0066460C" w:rsidRDefault="006C1D43" w:rsidP="0066460C">
      <w:pPr>
        <w:pStyle w:val="ListeParagraf"/>
        <w:autoSpaceDE w:val="0"/>
        <w:autoSpaceDN w:val="0"/>
        <w:adjustRightInd w:val="0"/>
        <w:spacing w:after="120" w:line="240" w:lineRule="auto"/>
        <w:ind w:left="0"/>
        <w:contextualSpacing w:val="0"/>
        <w:jc w:val="both"/>
        <w:rPr>
          <w:rFonts w:ascii="Times New Roman" w:hAnsi="Times New Roman" w:cs="Times New Roman"/>
          <w:color w:val="000000"/>
          <w:sz w:val="24"/>
          <w:szCs w:val="24"/>
        </w:rPr>
      </w:pPr>
      <w:r w:rsidRPr="0066460C">
        <w:rPr>
          <w:rFonts w:ascii="Times New Roman" w:hAnsi="Times New Roman" w:cs="Times New Roman"/>
          <w:color w:val="000000"/>
          <w:sz w:val="24"/>
          <w:szCs w:val="24"/>
        </w:rPr>
        <w:t>TSM, tüm bölgelerde sosyal uyum ve eşitliği teşvik ederek, çalışanların becerilerini</w:t>
      </w:r>
      <w:r w:rsidR="00AA21BA" w:rsidRPr="0066460C">
        <w:rPr>
          <w:rFonts w:ascii="Times New Roman" w:hAnsi="Times New Roman" w:cs="Times New Roman"/>
          <w:color w:val="000000"/>
          <w:sz w:val="24"/>
          <w:szCs w:val="24"/>
        </w:rPr>
        <w:t xml:space="preserve"> </w:t>
      </w:r>
      <w:r w:rsidRPr="0066460C">
        <w:rPr>
          <w:rFonts w:ascii="Times New Roman" w:hAnsi="Times New Roman" w:cs="Times New Roman"/>
          <w:color w:val="000000"/>
          <w:sz w:val="24"/>
          <w:szCs w:val="24"/>
        </w:rPr>
        <w:t>geliştiren ve kaliteli istihdam yaratan adil bir geçişi taahhüt etmektedir.</w:t>
      </w:r>
    </w:p>
    <w:p w14:paraId="7BC0073D" w14:textId="77777777" w:rsidR="0066460C" w:rsidRP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Beceriler için destek sağlanması</w:t>
      </w:r>
      <w:r w:rsidR="006C1D43" w:rsidRPr="0066460C">
        <w:rPr>
          <w:rFonts w:ascii="Times New Roman" w:hAnsi="Times New Roman" w:cs="Times New Roman"/>
          <w:color w:val="000000"/>
          <w:sz w:val="24"/>
          <w:szCs w:val="24"/>
        </w:rPr>
        <w:t>: İşverenlerin canlı ve rekabetçi bir ekonomi için</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ihtiyaç duyduğu uzmanlığa erişmesini sağlamak amacıyla bir "Beceriler Birliği" oluşturulup,</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kapsamlı bir beceri stratejisi olarak sunulacaktır. Ayrıca, Beceriler Taşınabilirlik İnisiyatifi ile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bir ülkede kazanılan bir becerinin başka bir ülkede tanınmasını kolaylaştıracaktır.</w:t>
      </w:r>
    </w:p>
    <w:p w14:paraId="3FCB27A1" w14:textId="509521B5" w:rsidR="006C1D43" w:rsidRPr="0066460C" w:rsidRDefault="0066460C" w:rsidP="0066460C">
      <w:pPr>
        <w:pStyle w:val="ListeParagraf"/>
        <w:numPr>
          <w:ilvl w:val="1"/>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 xml:space="preserve"> </w:t>
      </w:r>
      <w:r w:rsidR="006C1D43" w:rsidRPr="0066460C">
        <w:rPr>
          <w:rFonts w:ascii="Times New Roman" w:hAnsi="Times New Roman" w:cs="Times New Roman"/>
          <w:b/>
          <w:bCs/>
          <w:color w:val="000000"/>
          <w:sz w:val="24"/>
          <w:szCs w:val="24"/>
        </w:rPr>
        <w:t xml:space="preserve">Geçiş sürecindeki çalışanların desteklenmesi: </w:t>
      </w:r>
      <w:r w:rsidR="006C1D43" w:rsidRPr="0066460C">
        <w:rPr>
          <w:rFonts w:ascii="Times New Roman" w:hAnsi="Times New Roman" w:cs="Times New Roman"/>
          <w:color w:val="000000"/>
          <w:sz w:val="24"/>
          <w:szCs w:val="24"/>
        </w:rPr>
        <w:t>Genel Blok Muafiyet Tüzüğü’nün</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gözden geçirilmesi kapsamında, Komisyon, sanayinin yeniden beceri kazandırma, nitelikli işler</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ve çalışan alımı gibi alanlara yatırım yapması için daha iyi teşvikler sağlanması amacıyla devlet</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yardımları kurallarının nasıl güncellenebileceğini değerlendirecektir. Ayrıca, üye devletlere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sıfır emisyonlu araçlar, ısı pompaları ve diğer temiz ürünler için sosyal kiralama (social leasing)</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konusunda bir rehber geliştirilecektir. Bu rehber vasıtasıyla, vatandaşların temiz ürünlere</w:t>
      </w:r>
      <w:r w:rsidR="00AA21BA" w:rsidRPr="0066460C">
        <w:rPr>
          <w:rFonts w:ascii="Times New Roman" w:hAnsi="Times New Roman" w:cs="Times New Roman"/>
          <w:color w:val="000000"/>
          <w:sz w:val="24"/>
          <w:szCs w:val="24"/>
        </w:rPr>
        <w:t xml:space="preserve"> </w:t>
      </w:r>
      <w:r w:rsidR="006C1D43" w:rsidRPr="0066460C">
        <w:rPr>
          <w:rFonts w:ascii="Times New Roman" w:hAnsi="Times New Roman" w:cs="Times New Roman"/>
          <w:color w:val="000000"/>
          <w:sz w:val="24"/>
          <w:szCs w:val="24"/>
        </w:rPr>
        <w:t>erişimini sağlamak için mali yardım sunulacaktır.</w:t>
      </w:r>
    </w:p>
    <w:p w14:paraId="6FBC100C" w14:textId="116057AF" w:rsidR="006C1D43" w:rsidRPr="0066460C" w:rsidRDefault="006C1D43" w:rsidP="0066460C">
      <w:pPr>
        <w:pStyle w:val="ListeParagraf"/>
        <w:numPr>
          <w:ilvl w:val="0"/>
          <w:numId w:val="3"/>
        </w:numPr>
        <w:autoSpaceDE w:val="0"/>
        <w:autoSpaceDN w:val="0"/>
        <w:adjustRightInd w:val="0"/>
        <w:spacing w:after="120" w:line="240" w:lineRule="auto"/>
        <w:contextualSpacing w:val="0"/>
        <w:jc w:val="both"/>
        <w:rPr>
          <w:rFonts w:ascii="Times New Roman" w:hAnsi="Times New Roman" w:cs="Times New Roman"/>
          <w:b/>
          <w:bCs/>
          <w:color w:val="000000"/>
          <w:sz w:val="24"/>
          <w:szCs w:val="24"/>
        </w:rPr>
      </w:pPr>
      <w:r w:rsidRPr="0066460C">
        <w:rPr>
          <w:rFonts w:ascii="Times New Roman" w:hAnsi="Times New Roman" w:cs="Times New Roman"/>
          <w:b/>
          <w:bCs/>
          <w:color w:val="000000"/>
          <w:sz w:val="24"/>
          <w:szCs w:val="24"/>
        </w:rPr>
        <w:t>Temiz Sanayi Anlaşması'nın sektörler arası uygulanması</w:t>
      </w:r>
    </w:p>
    <w:p w14:paraId="4A677052" w14:textId="1020F7DE" w:rsidR="006C1D43"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TSM ile sektörler arası geçişi geliştirmek için sanayi paydaşlarıyla ve özellikle</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KOBİ'lerle diyalog kurmayı amaçlayan bir çerçeve sağlanması amaçlanmaktadır.</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Bu dayanak kapsamında, 2025 yılında Otomotiv Sektörü için Sanayi Eylem Planı, Çelik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ve Metal Eylem Planı, Kimya Endüstrisi Paketi, Sürdürülebilir Ulaşım Yatırım Planı,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Biy</w:t>
      </w:r>
      <w:r w:rsidR="00D05F5F">
        <w:rPr>
          <w:rFonts w:ascii="Times New Roman" w:hAnsi="Times New Roman" w:cs="Times New Roman"/>
          <w:color w:val="000000"/>
          <w:sz w:val="24"/>
          <w:szCs w:val="24"/>
        </w:rPr>
        <w:t>o</w:t>
      </w:r>
      <w:r w:rsidRPr="00AA21BA">
        <w:rPr>
          <w:rFonts w:ascii="Times New Roman" w:hAnsi="Times New Roman" w:cs="Times New Roman"/>
          <w:color w:val="000000"/>
          <w:sz w:val="24"/>
          <w:szCs w:val="24"/>
        </w:rPr>
        <w:t>ekonomi Stratejisi gibi kapsamlı planlar ile çeşitli sektörler özelinde çalışmalar devam</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edecektir.</w:t>
      </w:r>
    </w:p>
    <w:p w14:paraId="52A5840B" w14:textId="0CBDCE32" w:rsidR="00DA2C29" w:rsidRPr="00AA21BA" w:rsidRDefault="006C1D43" w:rsidP="0066460C">
      <w:pPr>
        <w:autoSpaceDE w:val="0"/>
        <w:autoSpaceDN w:val="0"/>
        <w:adjustRightInd w:val="0"/>
        <w:spacing w:after="120" w:line="240" w:lineRule="auto"/>
        <w:jc w:val="both"/>
        <w:rPr>
          <w:rFonts w:ascii="Times New Roman" w:hAnsi="Times New Roman" w:cs="Times New Roman"/>
          <w:color w:val="000000"/>
          <w:sz w:val="24"/>
          <w:szCs w:val="24"/>
        </w:rPr>
      </w:pPr>
      <w:r w:rsidRPr="00AA21BA">
        <w:rPr>
          <w:rFonts w:ascii="Times New Roman" w:hAnsi="Times New Roman" w:cs="Times New Roman"/>
          <w:color w:val="000000"/>
          <w:sz w:val="24"/>
          <w:szCs w:val="24"/>
        </w:rPr>
        <w:t>Sonuç olarak, TSM, karbon salınımını azaltmayı ve döngüselliği AB ekonomik</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politikasının merkezine yerleştirerek rekabet gücünü ve sürdürülebilirliği sağlamayı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hedeflemektedir. Belgede ayrıca, etkili bir uygulama için sağlam bir izleme mekanizması,</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eşgüdümlü içerisinde hareket edilmesi ve Üye Devletlerle iş</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birliği yapılması gerektiği</w:t>
      </w:r>
      <w:r w:rsidR="00AA21BA" w:rsidRPr="00AA21BA">
        <w:rPr>
          <w:rFonts w:ascii="Times New Roman" w:hAnsi="Times New Roman" w:cs="Times New Roman"/>
          <w:color w:val="000000"/>
          <w:sz w:val="24"/>
          <w:szCs w:val="24"/>
        </w:rPr>
        <w:t xml:space="preserve"> </w:t>
      </w:r>
      <w:r w:rsidRPr="00AA21BA">
        <w:rPr>
          <w:rFonts w:ascii="Times New Roman" w:hAnsi="Times New Roman" w:cs="Times New Roman"/>
          <w:color w:val="000000"/>
          <w:sz w:val="24"/>
          <w:szCs w:val="24"/>
        </w:rPr>
        <w:t>belirtilmektedir.</w:t>
      </w:r>
    </w:p>
    <w:sectPr w:rsidR="00C865EF" w:rsidRPr="00AA21BA" w:rsidSect="006C1D43">
      <w:pgSz w:w="11910" w:h="16840"/>
      <w:pgMar w:top="1417" w:right="1417" w:bottom="1417" w:left="1417" w:header="0" w:footer="99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1BAC" w14:textId="77777777" w:rsidR="00CA0BDA" w:rsidRDefault="00CA0BDA" w:rsidP="006C1D43">
      <w:pPr>
        <w:spacing w:after="0" w:line="240" w:lineRule="auto"/>
      </w:pPr>
      <w:r>
        <w:separator/>
      </w:r>
    </w:p>
  </w:endnote>
  <w:endnote w:type="continuationSeparator" w:id="0">
    <w:p w14:paraId="538976A6" w14:textId="77777777" w:rsidR="00CA0BDA" w:rsidRDefault="00CA0BDA" w:rsidP="006C1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6EB47" w14:textId="77777777" w:rsidR="00CA0BDA" w:rsidRDefault="00CA0BDA" w:rsidP="006C1D43">
      <w:pPr>
        <w:spacing w:after="0" w:line="240" w:lineRule="auto"/>
      </w:pPr>
      <w:r>
        <w:separator/>
      </w:r>
    </w:p>
  </w:footnote>
  <w:footnote w:type="continuationSeparator" w:id="0">
    <w:p w14:paraId="79B3F0EB" w14:textId="77777777" w:rsidR="00CA0BDA" w:rsidRDefault="00CA0BDA" w:rsidP="006C1D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6019D"/>
    <w:multiLevelType w:val="hybridMultilevel"/>
    <w:tmpl w:val="0AE40E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B901BD"/>
    <w:multiLevelType w:val="multilevel"/>
    <w:tmpl w:val="8AD0E1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5AA530BD"/>
    <w:multiLevelType w:val="multilevel"/>
    <w:tmpl w:val="8AD0E14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70C04653"/>
    <w:multiLevelType w:val="multilevel"/>
    <w:tmpl w:val="2280DF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7812244A"/>
    <w:multiLevelType w:val="hybridMultilevel"/>
    <w:tmpl w:val="CB783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67567849">
    <w:abstractNumId w:val="4"/>
  </w:num>
  <w:num w:numId="2" w16cid:durableId="1763867513">
    <w:abstractNumId w:val="0"/>
  </w:num>
  <w:num w:numId="3" w16cid:durableId="762187151">
    <w:abstractNumId w:val="1"/>
  </w:num>
  <w:num w:numId="4" w16cid:durableId="482552734">
    <w:abstractNumId w:val="3"/>
  </w:num>
  <w:num w:numId="5" w16cid:durableId="1699505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A68"/>
    <w:rsid w:val="00136603"/>
    <w:rsid w:val="00374434"/>
    <w:rsid w:val="0066197F"/>
    <w:rsid w:val="0066460C"/>
    <w:rsid w:val="006C1D43"/>
    <w:rsid w:val="007418FD"/>
    <w:rsid w:val="008A55C7"/>
    <w:rsid w:val="00920BFD"/>
    <w:rsid w:val="00AA21BA"/>
    <w:rsid w:val="00B1336B"/>
    <w:rsid w:val="00C72A68"/>
    <w:rsid w:val="00C863BA"/>
    <w:rsid w:val="00CA0BDA"/>
    <w:rsid w:val="00D05F5F"/>
    <w:rsid w:val="00DA2C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04DA7F"/>
  <w15:chartTrackingRefBased/>
  <w15:docId w15:val="{AEDA3135-A03C-407E-A8F0-2F115333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1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2457</Words>
  <Characters>14005</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SELEK</dc:creator>
  <cp:keywords/>
  <dc:description/>
  <cp:lastModifiedBy>Murat Mutluer</cp:lastModifiedBy>
  <cp:revision>2</cp:revision>
  <dcterms:created xsi:type="dcterms:W3CDTF">2025-03-13T13:15:00Z</dcterms:created>
  <dcterms:modified xsi:type="dcterms:W3CDTF">2025-03-13T13:15:00Z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user=24889603954</vt:lpwstr>
  </property>
  <property fmtid="{D5CDD505-2E9C-101B-9397-08002B2CF9AE}" pid="4" name="geodilabeltime">
    <vt:lpwstr>datetime=2025-03-04T12:02:58.791Z</vt:lpwstr>
  </property>
</Properties>
</file>